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522" w:rsidRPr="000228A0" w:rsidRDefault="00596522" w:rsidP="002F31A8">
      <w:pPr>
        <w:rPr>
          <w:rFonts w:ascii="Garamond" w:hAnsi="Garamond"/>
          <w:b/>
          <w:bCs/>
          <w:color w:val="0000FF"/>
        </w:rPr>
      </w:pPr>
      <w:r w:rsidRPr="000228A0">
        <w:rPr>
          <w:rFonts w:ascii="Garamond" w:hAnsi="Garamond"/>
        </w:rPr>
        <w:t xml:space="preserve">D.B.Q. Question:  </w:t>
      </w:r>
      <w:r w:rsidR="002F31A8" w:rsidRPr="000228A0">
        <w:rPr>
          <w:rFonts w:ascii="Garamond" w:hAnsi="Garamond"/>
          <w:b/>
          <w:bCs/>
          <w:color w:val="0000FF"/>
        </w:rPr>
        <w:t xml:space="preserve">How, why, and to what degree were the Roman Republic and </w:t>
      </w:r>
      <w:r w:rsidR="002665C8" w:rsidRPr="000228A0">
        <w:rPr>
          <w:rFonts w:ascii="Garamond" w:hAnsi="Garamond"/>
          <w:b/>
          <w:bCs/>
          <w:color w:val="0000FF"/>
        </w:rPr>
        <w:t xml:space="preserve">Roman </w:t>
      </w:r>
      <w:r w:rsidR="002F31A8" w:rsidRPr="000228A0">
        <w:rPr>
          <w:rFonts w:ascii="Garamond" w:hAnsi="Garamond"/>
          <w:b/>
          <w:bCs/>
          <w:color w:val="0000FF"/>
        </w:rPr>
        <w:t xml:space="preserve">Empire able to achieve </w:t>
      </w:r>
      <w:r w:rsidR="00267FD0" w:rsidRPr="000228A0">
        <w:rPr>
          <w:rFonts w:ascii="Garamond" w:hAnsi="Garamond"/>
          <w:b/>
          <w:bCs/>
          <w:color w:val="0000FF"/>
        </w:rPr>
        <w:t xml:space="preserve">long-term </w:t>
      </w:r>
      <w:r w:rsidR="002F31A8" w:rsidRPr="000228A0">
        <w:rPr>
          <w:rFonts w:ascii="Garamond" w:hAnsi="Garamond"/>
          <w:b/>
          <w:bCs/>
          <w:color w:val="0000FF"/>
        </w:rPr>
        <w:t>political, cultural and religious unity?</w:t>
      </w:r>
    </w:p>
    <w:p w:rsidR="002826D5" w:rsidRPr="000228A0" w:rsidRDefault="002826D5" w:rsidP="002826D5">
      <w:pPr>
        <w:rPr>
          <w:rFonts w:ascii="Garamond" w:hAnsi="Garamond"/>
          <w:color w:val="FF0000"/>
        </w:rPr>
      </w:pPr>
    </w:p>
    <w:p w:rsidR="00C27BB1" w:rsidRPr="000228A0" w:rsidRDefault="007D7021" w:rsidP="00927C11">
      <w:pPr>
        <w:rPr>
          <w:rFonts w:ascii="Garamond" w:hAnsi="Garamond"/>
          <w:b/>
          <w:color w:val="0000FF"/>
          <w:sz w:val="22"/>
          <w:szCs w:val="22"/>
        </w:rPr>
      </w:pPr>
      <w:r w:rsidRPr="000228A0">
        <w:rPr>
          <w:rFonts w:ascii="Garamond" w:hAnsi="Garamond"/>
          <w:sz w:val="22"/>
          <w:szCs w:val="22"/>
        </w:rPr>
        <w:t>Use the documents and your know</w:t>
      </w:r>
      <w:r w:rsidR="0018069E" w:rsidRPr="000228A0">
        <w:rPr>
          <w:rFonts w:ascii="Garamond" w:hAnsi="Garamond"/>
          <w:sz w:val="22"/>
          <w:szCs w:val="22"/>
        </w:rPr>
        <w:t xml:space="preserve">ledge of the period </w:t>
      </w:r>
      <w:r w:rsidR="002F31A8" w:rsidRPr="000228A0">
        <w:rPr>
          <w:rFonts w:ascii="Garamond" w:hAnsi="Garamond"/>
          <w:sz w:val="22"/>
          <w:szCs w:val="22"/>
        </w:rPr>
        <w:t>509 BCE</w:t>
      </w:r>
      <w:r w:rsidR="00280935" w:rsidRPr="000228A0">
        <w:rPr>
          <w:rFonts w:ascii="Garamond" w:hAnsi="Garamond"/>
          <w:sz w:val="22"/>
          <w:szCs w:val="22"/>
        </w:rPr>
        <w:t xml:space="preserve"> to </w:t>
      </w:r>
      <w:r w:rsidR="002F31A8" w:rsidRPr="000228A0">
        <w:rPr>
          <w:rFonts w:ascii="Garamond" w:hAnsi="Garamond"/>
          <w:sz w:val="22"/>
          <w:szCs w:val="22"/>
        </w:rPr>
        <w:t>476</w:t>
      </w:r>
      <w:r w:rsidR="00280935" w:rsidRPr="000228A0">
        <w:rPr>
          <w:rFonts w:ascii="Garamond" w:hAnsi="Garamond"/>
          <w:sz w:val="22"/>
          <w:szCs w:val="22"/>
        </w:rPr>
        <w:t xml:space="preserve"> CE </w:t>
      </w:r>
      <w:r w:rsidRPr="000228A0">
        <w:rPr>
          <w:rFonts w:ascii="Garamond" w:hAnsi="Garamond"/>
          <w:sz w:val="22"/>
          <w:szCs w:val="22"/>
        </w:rPr>
        <w:t>to construct your essay.</w:t>
      </w:r>
      <w:r w:rsidR="00D178A5" w:rsidRPr="000228A0">
        <w:rPr>
          <w:rFonts w:ascii="Garamond" w:hAnsi="Garamond"/>
          <w:b/>
          <w:sz w:val="22"/>
          <w:szCs w:val="22"/>
        </w:rPr>
        <w:t xml:space="preserve"> </w:t>
      </w:r>
    </w:p>
    <w:p w:rsidR="00D85F83" w:rsidRPr="000228A0" w:rsidRDefault="00D85F83" w:rsidP="00404D11">
      <w:pPr>
        <w:jc w:val="center"/>
        <w:rPr>
          <w:rFonts w:ascii="Garamond" w:hAnsi="Garamond"/>
          <w:b/>
        </w:rPr>
      </w:pPr>
    </w:p>
    <w:p w:rsidR="007D7021" w:rsidRPr="000228A0" w:rsidRDefault="007D7021" w:rsidP="00976C46">
      <w:pPr>
        <w:jc w:val="center"/>
        <w:rPr>
          <w:rFonts w:ascii="Garamond" w:hAnsi="Garamond"/>
          <w:b/>
        </w:rPr>
      </w:pPr>
      <w:r w:rsidRPr="000228A0">
        <w:rPr>
          <w:rFonts w:ascii="Garamond" w:hAnsi="Garamond"/>
          <w:b/>
        </w:rPr>
        <w:t xml:space="preserve">Document </w:t>
      </w:r>
      <w:r w:rsidR="00976C46" w:rsidRPr="000228A0">
        <w:rPr>
          <w:rFonts w:ascii="Garamond" w:hAnsi="Garamond"/>
          <w:b/>
        </w:rPr>
        <w:t>1</w:t>
      </w:r>
    </w:p>
    <w:p w:rsidR="00CD1EF1" w:rsidRPr="000228A0" w:rsidRDefault="00AE4C7D" w:rsidP="007D7021">
      <w:pPr>
        <w:jc w:val="center"/>
        <w:rPr>
          <w:rFonts w:ascii="Garamond" w:hAnsi="Garamond"/>
          <w:b/>
        </w:rPr>
      </w:pPr>
      <w:r w:rsidRPr="000228A0">
        <w:rPr>
          <w:rFonts w:ascii="Garamond" w:hAnsi="Garamond"/>
          <w:noProof/>
        </w:rPr>
        <w:pict>
          <v:shapetype id="_x0000_t202" coordsize="21600,21600" o:spt="202" path="m,l,21600r21600,l21600,xe">
            <v:stroke joinstyle="miter"/>
            <v:path gradientshapeok="t" o:connecttype="rect"/>
          </v:shapetype>
          <v:shape id="_x0000_s1026" type="#_x0000_t202" style="position:absolute;left:0;text-align:left;margin-left:-18pt;margin-top:17.3pt;width:495pt;height:197.4pt;z-index:251655168">
            <v:textbox style="mso-next-textbox:#_x0000_s1026">
              <w:txbxContent>
                <w:p w:rsidR="00280935" w:rsidRPr="000228A0" w:rsidRDefault="00280935" w:rsidP="002F31A8">
                  <w:pPr>
                    <w:rPr>
                      <w:rFonts w:ascii="Garamond" w:hAnsi="Garamond"/>
                      <w:b/>
                      <w:bCs/>
                      <w:iCs/>
                    </w:rPr>
                  </w:pPr>
                  <w:r w:rsidRPr="000228A0">
                    <w:rPr>
                      <w:rFonts w:ascii="Garamond" w:hAnsi="Garamond"/>
                      <w:b/>
                      <w:bCs/>
                      <w:iCs/>
                    </w:rPr>
                    <w:t>Source:</w:t>
                  </w:r>
                  <w:r w:rsidR="008D1E9A" w:rsidRPr="000228A0">
                    <w:rPr>
                      <w:rFonts w:ascii="Garamond" w:hAnsi="Garamond"/>
                      <w:b/>
                      <w:bCs/>
                      <w:iCs/>
                    </w:rPr>
                    <w:t xml:space="preserve"> </w:t>
                  </w:r>
                  <w:r w:rsidR="006A3FFD" w:rsidRPr="000228A0">
                    <w:rPr>
                      <w:rFonts w:ascii="Garamond" w:hAnsi="Garamond"/>
                      <w:b/>
                      <w:bCs/>
                      <w:iCs/>
                    </w:rPr>
                    <w:t>Twelve Tables of Roman Law (449 BCE)</w:t>
                  </w:r>
                </w:p>
                <w:p w:rsidR="001D4E33" w:rsidRPr="000228A0" w:rsidRDefault="001D4E33" w:rsidP="002F31A8">
                  <w:pPr>
                    <w:rPr>
                      <w:rFonts w:ascii="Garamond" w:hAnsi="Garamond"/>
                      <w:b/>
                      <w:bCs/>
                      <w:iCs/>
                    </w:rPr>
                  </w:pPr>
                </w:p>
                <w:p w:rsidR="001D4E33" w:rsidRPr="000228A0" w:rsidRDefault="001D4E33" w:rsidP="002F31A8">
                  <w:pPr>
                    <w:rPr>
                      <w:rFonts w:ascii="Garamond" w:hAnsi="Garamond"/>
                      <w:iCs/>
                    </w:rPr>
                  </w:pPr>
                  <w:r w:rsidRPr="000228A0">
                    <w:rPr>
                      <w:rFonts w:ascii="Garamond" w:hAnsi="Garamond"/>
                      <w:iCs/>
                    </w:rPr>
                    <w:t xml:space="preserve">From Table VIII (Torts or </w:t>
                  </w:r>
                  <w:proofErr w:type="spellStart"/>
                  <w:r w:rsidRPr="000228A0">
                    <w:rPr>
                      <w:rFonts w:ascii="Garamond" w:hAnsi="Garamond"/>
                      <w:iCs/>
                    </w:rPr>
                    <w:t>Delicts</w:t>
                  </w:r>
                  <w:proofErr w:type="spellEnd"/>
                  <w:r w:rsidRPr="000228A0">
                    <w:rPr>
                      <w:rFonts w:ascii="Garamond" w:hAnsi="Garamond"/>
                      <w:iCs/>
                    </w:rPr>
                    <w:t xml:space="preserve">): </w:t>
                  </w:r>
                </w:p>
                <w:p w:rsidR="001D4E33" w:rsidRPr="000228A0" w:rsidRDefault="001D4E33" w:rsidP="001D4E33">
                  <w:pPr>
                    <w:ind w:firstLine="720"/>
                    <w:rPr>
                      <w:rFonts w:ascii="Garamond" w:hAnsi="Garamond"/>
                      <w:iCs/>
                    </w:rPr>
                  </w:pPr>
                  <w:r w:rsidRPr="000228A0">
                    <w:rPr>
                      <w:rFonts w:ascii="Garamond" w:hAnsi="Garamond"/>
                      <w:iCs/>
                    </w:rPr>
                    <w:t xml:space="preserve">“If a patron defrauds a client he shall be accursed. </w:t>
                  </w:r>
                </w:p>
                <w:p w:rsidR="001D4E33" w:rsidRPr="000228A0" w:rsidRDefault="001D4E33" w:rsidP="001D4E33">
                  <w:pPr>
                    <w:ind w:firstLine="720"/>
                    <w:rPr>
                      <w:rFonts w:ascii="Garamond" w:hAnsi="Garamond"/>
                      <w:iCs/>
                    </w:rPr>
                  </w:pPr>
                  <w:r w:rsidRPr="000228A0">
                    <w:rPr>
                      <w:rFonts w:ascii="Garamond" w:hAnsi="Garamond"/>
                      <w:iCs/>
                    </w:rPr>
                    <w:t>Unless he speaks his testimony whoever allows himself to be called as a witness or is a scales-bearer shall be dishonored and incompetent to give or obtain testimony….</w:t>
                  </w:r>
                </w:p>
                <w:p w:rsidR="001D4E33" w:rsidRPr="000228A0" w:rsidRDefault="001D4E33" w:rsidP="002F31A8">
                  <w:pPr>
                    <w:rPr>
                      <w:rFonts w:ascii="Garamond" w:hAnsi="Garamond"/>
                      <w:iCs/>
                    </w:rPr>
                  </w:pPr>
                </w:p>
                <w:p w:rsidR="001D4E33" w:rsidRPr="000228A0" w:rsidRDefault="001D4E33" w:rsidP="002F31A8">
                  <w:pPr>
                    <w:rPr>
                      <w:rFonts w:ascii="Garamond" w:hAnsi="Garamond"/>
                      <w:iCs/>
                    </w:rPr>
                  </w:pPr>
                  <w:r w:rsidRPr="000228A0">
                    <w:rPr>
                      <w:rFonts w:ascii="Garamond" w:hAnsi="Garamond"/>
                      <w:iCs/>
                    </w:rPr>
                    <w:t xml:space="preserve">From Table IX (Public Law): </w:t>
                  </w:r>
                </w:p>
                <w:p w:rsidR="001D4E33" w:rsidRPr="000228A0" w:rsidRDefault="001D4E33" w:rsidP="001D4E33">
                  <w:pPr>
                    <w:ind w:firstLine="720"/>
                    <w:rPr>
                      <w:rFonts w:ascii="Garamond" w:hAnsi="Garamond"/>
                      <w:iCs/>
                    </w:rPr>
                  </w:pPr>
                  <w:r w:rsidRPr="000228A0">
                    <w:rPr>
                      <w:rFonts w:ascii="Garamond" w:hAnsi="Garamond"/>
                      <w:iCs/>
                    </w:rPr>
                    <w:t>Laws of personal exception shall not be proposed. Laws concerning capital punishment of a citizen shall not be passed… except by the General Assembly [</w:t>
                  </w:r>
                  <w:proofErr w:type="spellStart"/>
                  <w:r w:rsidRPr="000228A0">
                    <w:rPr>
                      <w:rFonts w:ascii="Garamond" w:hAnsi="Garamond"/>
                      <w:iCs/>
                    </w:rPr>
                    <w:t>Concilium</w:t>
                  </w:r>
                  <w:proofErr w:type="spellEnd"/>
                  <w:r w:rsidRPr="000228A0">
                    <w:rPr>
                      <w:rFonts w:ascii="Garamond" w:hAnsi="Garamond"/>
                      <w:iCs/>
                    </w:rPr>
                    <w:t xml:space="preserve"> </w:t>
                  </w:r>
                  <w:proofErr w:type="spellStart"/>
                  <w:r w:rsidRPr="000228A0">
                    <w:rPr>
                      <w:rFonts w:ascii="Garamond" w:hAnsi="Garamond"/>
                      <w:iCs/>
                    </w:rPr>
                    <w:t>Plebis</w:t>
                  </w:r>
                  <w:proofErr w:type="spellEnd"/>
                  <w:r w:rsidRPr="000228A0">
                    <w:rPr>
                      <w:rFonts w:ascii="Garamond" w:hAnsi="Garamond"/>
                      <w:iCs/>
                    </w:rPr>
                    <w:t>]…</w:t>
                  </w:r>
                </w:p>
                <w:p w:rsidR="001D4E33" w:rsidRPr="000228A0" w:rsidRDefault="001D4E33" w:rsidP="001D4E33">
                  <w:pPr>
                    <w:ind w:firstLine="720"/>
                    <w:rPr>
                      <w:rFonts w:ascii="Garamond" w:hAnsi="Garamond"/>
                      <w:iCs/>
                    </w:rPr>
                  </w:pPr>
                  <w:r w:rsidRPr="000228A0">
                    <w:rPr>
                      <w:rFonts w:ascii="Garamond" w:hAnsi="Garamond"/>
                      <w:iCs/>
                    </w:rPr>
                    <w:t xml:space="preserve">Whoever incites a public enemy or whoever betrays a citizen to a public enemy shall be punished </w:t>
                  </w:r>
                  <w:proofErr w:type="gramStart"/>
                  <w:r w:rsidRPr="000228A0">
                    <w:rPr>
                      <w:rFonts w:ascii="Garamond" w:hAnsi="Garamond"/>
                      <w:iCs/>
                    </w:rPr>
                    <w:t>capitally.</w:t>
                  </w:r>
                  <w:proofErr w:type="gramEnd"/>
                  <w:r w:rsidRPr="000228A0">
                    <w:rPr>
                      <w:rFonts w:ascii="Garamond" w:hAnsi="Garamond"/>
                      <w:iCs/>
                    </w:rPr>
                    <w:t xml:space="preserve"> </w:t>
                  </w:r>
                </w:p>
                <w:p w:rsidR="001D4E33" w:rsidRPr="001D4E33" w:rsidRDefault="001D4E33" w:rsidP="001D4E33">
                  <w:pPr>
                    <w:ind w:firstLine="720"/>
                  </w:pPr>
                  <w:r w:rsidRPr="000228A0">
                    <w:rPr>
                      <w:rFonts w:ascii="Garamond" w:hAnsi="Garamond"/>
                      <w:iCs/>
                    </w:rPr>
                    <w:t xml:space="preserve">For anyone whomsoever to be put to death without a trial and </w:t>
                  </w:r>
                  <w:proofErr w:type="spellStart"/>
                  <w:r w:rsidRPr="000228A0">
                    <w:rPr>
                      <w:rFonts w:ascii="Garamond" w:hAnsi="Garamond"/>
                      <w:iCs/>
                    </w:rPr>
                    <w:t>unconvicted</w:t>
                  </w:r>
                  <w:proofErr w:type="spellEnd"/>
                  <w:proofErr w:type="gramStart"/>
                  <w:r w:rsidRPr="000228A0">
                    <w:rPr>
                      <w:rFonts w:ascii="Garamond" w:hAnsi="Garamond"/>
                      <w:iCs/>
                    </w:rPr>
                    <w:t>…  is</w:t>
                  </w:r>
                  <w:proofErr w:type="gramEnd"/>
                  <w:r w:rsidRPr="000228A0">
                    <w:rPr>
                      <w:rFonts w:ascii="Garamond" w:hAnsi="Garamond"/>
                      <w:iCs/>
                    </w:rPr>
                    <w:t xml:space="preserve"> forbidden</w:t>
                  </w:r>
                  <w:r>
                    <w:rPr>
                      <w:iCs/>
                    </w:rPr>
                    <w:t>.</w:t>
                  </w:r>
                </w:p>
                <w:p w:rsidR="005C6E25" w:rsidRDefault="005C6E25" w:rsidP="005C6E25">
                  <w:pPr>
                    <w:jc w:val="center"/>
                  </w:pPr>
                </w:p>
                <w:p w:rsidR="008D1E9A" w:rsidRDefault="008D1E9A" w:rsidP="008D1E9A">
                  <w:pPr>
                    <w:jc w:val="center"/>
                  </w:pPr>
                </w:p>
                <w:p w:rsidR="00CD1EF1" w:rsidRPr="00D178A5" w:rsidRDefault="00CD1EF1" w:rsidP="00D178A5"/>
              </w:txbxContent>
            </v:textbox>
            <w10:wrap type="square"/>
          </v:shape>
        </w:pict>
      </w:r>
    </w:p>
    <w:p w:rsidR="007D7021" w:rsidRPr="000228A0" w:rsidRDefault="007D7021" w:rsidP="003D595B">
      <w:pPr>
        <w:rPr>
          <w:rFonts w:ascii="Garamond" w:hAnsi="Garamond"/>
          <w:b/>
        </w:rPr>
      </w:pPr>
    </w:p>
    <w:p w:rsidR="00976C46" w:rsidRPr="000228A0" w:rsidRDefault="00AE4C7D" w:rsidP="00976C46">
      <w:pPr>
        <w:jc w:val="center"/>
        <w:rPr>
          <w:rFonts w:ascii="Garamond" w:hAnsi="Garamond"/>
          <w:b/>
        </w:rPr>
      </w:pPr>
      <w:r w:rsidRPr="000228A0">
        <w:rPr>
          <w:rFonts w:ascii="Garamond" w:hAnsi="Garamond"/>
          <w:noProof/>
        </w:rPr>
        <w:pict>
          <v:shape id="_x0000_s1044" type="#_x0000_t202" style="position:absolute;left:0;text-align:left;margin-left:-18pt;margin-top:21.45pt;width:495pt;height:243pt;z-index:251660288">
            <v:textbox>
              <w:txbxContent>
                <w:p w:rsidR="00976C46" w:rsidRPr="000228A0" w:rsidRDefault="00976C46" w:rsidP="00976C46">
                  <w:pPr>
                    <w:pStyle w:val="BodyTextIndent"/>
                    <w:ind w:left="0"/>
                    <w:rPr>
                      <w:rFonts w:ascii="Garamond" w:hAnsi="Garamond"/>
                    </w:rPr>
                  </w:pPr>
                  <w:r w:rsidRPr="000228A0">
                    <w:rPr>
                      <w:rFonts w:ascii="Garamond" w:hAnsi="Garamond"/>
                      <w:b/>
                    </w:rPr>
                    <w:t xml:space="preserve">Source: </w:t>
                  </w:r>
                  <w:r w:rsidR="00361766" w:rsidRPr="000228A0">
                    <w:rPr>
                      <w:rFonts w:ascii="Garamond" w:hAnsi="Garamond"/>
                      <w:b/>
                    </w:rPr>
                    <w:t>Roman coins, (c. 1st century CE)</w:t>
                  </w:r>
                </w:p>
                <w:p w:rsidR="00976C46" w:rsidRPr="00361766" w:rsidRDefault="003B6F8B" w:rsidP="00361766">
                  <w:pPr>
                    <w:spacing w:before="100" w:beforeAutospacing="1" w:after="100" w:afterAutospacing="1" w:line="288" w:lineRule="auto"/>
                    <w:ind w:firstLine="409"/>
                    <w:rPr>
                      <w:bCs/>
                    </w:rPr>
                  </w:pPr>
                  <w:r>
                    <w:rPr>
                      <w:bCs/>
                      <w:noProof/>
                    </w:rPr>
                    <w:drawing>
                      <wp:inline distT="0" distB="0" distL="0" distR="0">
                        <wp:extent cx="4762500" cy="2400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62500" cy="2400300"/>
                                </a:xfrm>
                                <a:prstGeom prst="rect">
                                  <a:avLst/>
                                </a:prstGeom>
                                <a:noFill/>
                                <a:ln w="9525">
                                  <a:noFill/>
                                  <a:miter lim="800000"/>
                                  <a:headEnd/>
                                  <a:tailEnd/>
                                </a:ln>
                              </pic:spPr>
                            </pic:pic>
                          </a:graphicData>
                        </a:graphic>
                      </wp:inline>
                    </w:drawing>
                  </w:r>
                </w:p>
                <w:p w:rsidR="00976C46" w:rsidRPr="00B7782F" w:rsidRDefault="00976C46" w:rsidP="00976C46">
                  <w:pPr>
                    <w:spacing w:before="100" w:beforeAutospacing="1" w:after="100" w:afterAutospacing="1"/>
                    <w:rPr>
                      <w:bCs/>
                    </w:rPr>
                  </w:pPr>
                </w:p>
                <w:p w:rsidR="00976C46" w:rsidRPr="00C95249" w:rsidRDefault="00976C46" w:rsidP="00976C46">
                  <w:pPr>
                    <w:spacing w:before="100" w:beforeAutospacing="1" w:after="100" w:afterAutospacing="1"/>
                    <w:rPr>
                      <w:color w:val="330000"/>
                    </w:rPr>
                  </w:pPr>
                </w:p>
                <w:p w:rsidR="00976C46" w:rsidRDefault="00976C46" w:rsidP="00976C46">
                  <w:pPr>
                    <w:rPr>
                      <w:b/>
                    </w:rPr>
                  </w:pPr>
                </w:p>
              </w:txbxContent>
            </v:textbox>
            <w10:wrap type="square"/>
          </v:shape>
        </w:pict>
      </w:r>
      <w:r w:rsidR="00976C46" w:rsidRPr="000228A0">
        <w:rPr>
          <w:rFonts w:ascii="Garamond" w:hAnsi="Garamond"/>
          <w:b/>
        </w:rPr>
        <w:t>Document 2</w:t>
      </w:r>
    </w:p>
    <w:p w:rsidR="00647DB6" w:rsidRPr="000228A0" w:rsidRDefault="00647DB6" w:rsidP="00976C46">
      <w:pPr>
        <w:jc w:val="center"/>
        <w:rPr>
          <w:rFonts w:ascii="Garamond" w:hAnsi="Garamond"/>
          <w:b/>
        </w:rPr>
      </w:pPr>
    </w:p>
    <w:p w:rsidR="00647DB6" w:rsidRPr="000228A0" w:rsidRDefault="00647DB6" w:rsidP="00976C46">
      <w:pPr>
        <w:jc w:val="center"/>
        <w:rPr>
          <w:rFonts w:ascii="Garamond" w:hAnsi="Garamond"/>
          <w:b/>
        </w:rPr>
      </w:pPr>
    </w:p>
    <w:p w:rsidR="007D7021" w:rsidRPr="000228A0" w:rsidRDefault="00AE4C7D" w:rsidP="00647DB6">
      <w:pPr>
        <w:jc w:val="center"/>
        <w:rPr>
          <w:rFonts w:ascii="Garamond" w:hAnsi="Garamond"/>
          <w:b/>
        </w:rPr>
      </w:pPr>
      <w:r w:rsidRPr="000228A0">
        <w:rPr>
          <w:rFonts w:ascii="Garamond" w:hAnsi="Garamond"/>
          <w:noProof/>
        </w:rPr>
        <w:lastRenderedPageBreak/>
        <w:pict>
          <v:shape id="_x0000_s1027" type="#_x0000_t202" style="position:absolute;left:0;text-align:left;margin-left:-27pt;margin-top:26.4pt;width:495pt;height:112.6pt;z-index:251656192">
            <v:textbox style="mso-next-textbox:#_x0000_s1027">
              <w:txbxContent>
                <w:p w:rsidR="00EE6BD6" w:rsidRPr="000228A0" w:rsidRDefault="00D178A5" w:rsidP="00EA6AE0">
                  <w:pPr>
                    <w:rPr>
                      <w:rFonts w:ascii="Garamond" w:hAnsi="Garamond"/>
                      <w:b/>
                    </w:rPr>
                  </w:pPr>
                  <w:r w:rsidRPr="000228A0">
                    <w:rPr>
                      <w:rFonts w:ascii="Garamond" w:hAnsi="Garamond"/>
                      <w:b/>
                    </w:rPr>
                    <w:t xml:space="preserve">Source:  </w:t>
                  </w:r>
                  <w:r w:rsidR="006A3FFD" w:rsidRPr="000228A0">
                    <w:rPr>
                      <w:rFonts w:ascii="Garamond" w:hAnsi="Garamond"/>
                      <w:b/>
                    </w:rPr>
                    <w:t>Tacitus’ description of German tribes</w:t>
                  </w:r>
                  <w:r w:rsidR="00647DB6" w:rsidRPr="000228A0">
                    <w:rPr>
                      <w:rFonts w:ascii="Garamond" w:hAnsi="Garamond"/>
                      <w:b/>
                    </w:rPr>
                    <w:t xml:space="preserve"> in </w:t>
                  </w:r>
                  <w:smartTag w:uri="urn:schemas-microsoft-com:office:smarttags" w:element="place">
                    <w:r w:rsidR="00647DB6" w:rsidRPr="000228A0">
                      <w:rPr>
                        <w:rFonts w:ascii="Garamond" w:hAnsi="Garamond"/>
                        <w:b/>
                        <w:i/>
                        <w:iCs/>
                      </w:rPr>
                      <w:t>Germania</w:t>
                    </w:r>
                  </w:smartTag>
                  <w:r w:rsidR="006A3FFD" w:rsidRPr="000228A0">
                    <w:rPr>
                      <w:rFonts w:ascii="Garamond" w:hAnsi="Garamond"/>
                      <w:b/>
                    </w:rPr>
                    <w:t xml:space="preserve"> (c. 98 CE)</w:t>
                  </w:r>
                </w:p>
                <w:p w:rsidR="00647DB6" w:rsidRPr="00647DB6" w:rsidRDefault="00647DB6" w:rsidP="00EA6AE0">
                  <w:pPr>
                    <w:rPr>
                      <w:rFonts w:ascii="Comic Sans MS" w:hAnsi="Comic Sans MS"/>
                      <w:bCs/>
                    </w:rPr>
                  </w:pPr>
                  <w:r w:rsidRPr="000228A0">
                    <w:rPr>
                      <w:rFonts w:ascii="Garamond" w:hAnsi="Garamond"/>
                      <w:bCs/>
                    </w:rPr>
                    <w:t>“Only a few of them use swords or large lances: they carry spears with short and narrow blades, but so sharp and easy to handle that they can be used, as required, either at close quarters or in long-range fighting. ….  Their horses are not remarkable for either beauty or speed, and are not trained to execute various turns as ours are. The Germans’ strength lies in infantry rather than cavalry. Foot-soldiers accompany the cavalry into action, their speed of foot being such that they can easily keep up with the charging horsemen</w:t>
                  </w:r>
                  <w:r>
                    <w:rPr>
                      <w:bCs/>
                    </w:rPr>
                    <w:t>.</w:t>
                  </w:r>
                </w:p>
                <w:p w:rsidR="00404D11" w:rsidRDefault="00404D11" w:rsidP="00404D11">
                  <w:pPr>
                    <w:ind w:left="720"/>
                  </w:pPr>
                </w:p>
                <w:p w:rsidR="00D178A5" w:rsidRDefault="00D178A5" w:rsidP="00404D11">
                  <w:pPr>
                    <w:jc w:val="center"/>
                    <w:rPr>
                      <w:b/>
                    </w:rPr>
                  </w:pPr>
                </w:p>
                <w:p w:rsidR="00CD1EF1" w:rsidRPr="00D178A5" w:rsidRDefault="00CD1EF1" w:rsidP="00D178A5"/>
              </w:txbxContent>
            </v:textbox>
            <w10:wrap type="square"/>
          </v:shape>
        </w:pict>
      </w:r>
      <w:r w:rsidR="007D7021" w:rsidRPr="000228A0">
        <w:rPr>
          <w:rFonts w:ascii="Garamond" w:hAnsi="Garamond"/>
          <w:b/>
        </w:rPr>
        <w:t xml:space="preserve">Document </w:t>
      </w:r>
      <w:r w:rsidR="00D85F83" w:rsidRPr="000228A0">
        <w:rPr>
          <w:rFonts w:ascii="Garamond" w:hAnsi="Garamond"/>
          <w:b/>
        </w:rPr>
        <w:t>3</w:t>
      </w:r>
    </w:p>
    <w:p w:rsidR="00647DB6" w:rsidRPr="000228A0" w:rsidRDefault="00647DB6" w:rsidP="00C31CCE">
      <w:pPr>
        <w:rPr>
          <w:rFonts w:ascii="Garamond" w:hAnsi="Garamond"/>
          <w:b/>
        </w:rPr>
      </w:pPr>
    </w:p>
    <w:p w:rsidR="007D7021" w:rsidRPr="000228A0" w:rsidRDefault="00AE4C7D" w:rsidP="009345AC">
      <w:pPr>
        <w:jc w:val="center"/>
        <w:rPr>
          <w:rFonts w:ascii="Garamond" w:hAnsi="Garamond"/>
          <w:b/>
        </w:rPr>
      </w:pPr>
      <w:r w:rsidRPr="000228A0">
        <w:rPr>
          <w:rFonts w:ascii="Garamond" w:hAnsi="Garamond"/>
          <w:noProof/>
        </w:rPr>
        <w:pict>
          <v:shape id="_x0000_s1028" type="#_x0000_t202" style="position:absolute;left:0;text-align:left;margin-left:-27pt;margin-top:27pt;width:495pt;height:214.95pt;z-index:251657216">
            <v:textbox style="mso-next-textbox:#_x0000_s1028">
              <w:txbxContent>
                <w:p w:rsidR="003A5504" w:rsidRPr="000228A0" w:rsidRDefault="003A5504" w:rsidP="00267FD0">
                  <w:pPr>
                    <w:rPr>
                      <w:rFonts w:ascii="Garamond" w:hAnsi="Garamond"/>
                      <w:b/>
                      <w:bCs/>
                    </w:rPr>
                  </w:pPr>
                  <w:r w:rsidRPr="000228A0">
                    <w:rPr>
                      <w:rFonts w:ascii="Garamond" w:hAnsi="Garamond"/>
                      <w:b/>
                      <w:bCs/>
                    </w:rPr>
                    <w:t xml:space="preserve">Source: </w:t>
                  </w:r>
                  <w:r w:rsidR="006A3FFD" w:rsidRPr="000228A0">
                    <w:rPr>
                      <w:rFonts w:ascii="Garamond" w:hAnsi="Garamond"/>
                      <w:b/>
                      <w:bCs/>
                    </w:rPr>
                    <w:t>Pliny</w:t>
                  </w:r>
                  <w:r w:rsidR="00894B58" w:rsidRPr="000228A0">
                    <w:rPr>
                      <w:rFonts w:ascii="Garamond" w:hAnsi="Garamond"/>
                      <w:b/>
                      <w:bCs/>
                    </w:rPr>
                    <w:t xml:space="preserve"> the Younger</w:t>
                  </w:r>
                  <w:r w:rsidR="006A3FFD" w:rsidRPr="000228A0">
                    <w:rPr>
                      <w:rFonts w:ascii="Garamond" w:hAnsi="Garamond"/>
                      <w:b/>
                      <w:bCs/>
                    </w:rPr>
                    <w:t>’s correspondence with Trajan (c. 110 CE)</w:t>
                  </w:r>
                </w:p>
                <w:p w:rsidR="00894B58" w:rsidRPr="000228A0" w:rsidRDefault="00C500F9" w:rsidP="00267FD0">
                  <w:pPr>
                    <w:rPr>
                      <w:rFonts w:ascii="Garamond" w:hAnsi="Garamond"/>
                    </w:rPr>
                  </w:pPr>
                  <w:r w:rsidRPr="000228A0">
                    <w:rPr>
                      <w:rFonts w:ascii="Garamond" w:hAnsi="Garamond"/>
                    </w:rPr>
                    <w:t xml:space="preserve">Pliny to Trajan: </w:t>
                  </w:r>
                  <w:r w:rsidR="00894B58" w:rsidRPr="000228A0">
                    <w:rPr>
                      <w:rFonts w:ascii="Garamond" w:hAnsi="Garamond"/>
                    </w:rPr>
                    <w:t>“This is what I have done with those who were named to me as Christians. I ha them brought in an asked them face-to-face if they were Christians. If they said “Yes,” I asked them a second time. If they still said “Yes,” I asked them a third time. And this time I threatened them with punishment. If they still said “Yes,” I ordered them to be beheaded…</w:t>
                  </w:r>
                </w:p>
                <w:p w:rsidR="00C500F9" w:rsidRPr="000228A0" w:rsidRDefault="00C500F9" w:rsidP="00267FD0">
                  <w:pPr>
                    <w:rPr>
                      <w:rFonts w:ascii="Garamond" w:hAnsi="Garamond"/>
                    </w:rPr>
                  </w:pPr>
                </w:p>
                <w:p w:rsidR="00894B58" w:rsidRPr="000228A0" w:rsidRDefault="00C500F9" w:rsidP="00C500F9">
                  <w:pPr>
                    <w:rPr>
                      <w:rFonts w:ascii="Garamond" w:hAnsi="Garamond"/>
                    </w:rPr>
                  </w:pPr>
                  <w:r w:rsidRPr="000228A0">
                    <w:rPr>
                      <w:rFonts w:ascii="Garamond" w:hAnsi="Garamond"/>
                    </w:rPr>
                    <w:t xml:space="preserve">Trajan to Pliny: “You did the right thing, my </w:t>
                  </w:r>
                  <w:proofErr w:type="spellStart"/>
                  <w:r w:rsidRPr="000228A0">
                    <w:rPr>
                      <w:rFonts w:ascii="Garamond" w:hAnsi="Garamond"/>
                    </w:rPr>
                    <w:t>Secundus</w:t>
                  </w:r>
                  <w:proofErr w:type="spellEnd"/>
                  <w:r w:rsidRPr="000228A0">
                    <w:rPr>
                      <w:rFonts w:ascii="Garamond" w:hAnsi="Garamond"/>
                    </w:rPr>
                    <w:t>, in “shaking out” the cases of those who were named to you as Christians. There is no one rule which will cover everything. The matter is so complex. But the Christians must not be hunted out. If they are named and proved Christians, they must be punished. If someone says he is not a Christian an</w:t>
                  </w:r>
                  <w:r w:rsidR="005D480D" w:rsidRPr="000228A0">
                    <w:rPr>
                      <w:rFonts w:ascii="Garamond" w:hAnsi="Garamond"/>
                    </w:rPr>
                    <w:t>d</w:t>
                  </w:r>
                  <w:r w:rsidRPr="000228A0">
                    <w:rPr>
                      <w:rFonts w:ascii="Garamond" w:hAnsi="Garamond"/>
                    </w:rPr>
                    <w:t xml:space="preserve"> shows it by praying to our Roman gods, then grant him a pardon. He has repented and that will do. Do this even to those who may be suspected of having been Christians in the past.</w:t>
                  </w:r>
                </w:p>
                <w:p w:rsidR="00C500F9" w:rsidRPr="000228A0" w:rsidRDefault="00C500F9" w:rsidP="00C500F9">
                  <w:pPr>
                    <w:rPr>
                      <w:rFonts w:ascii="Garamond" w:hAnsi="Garamond"/>
                    </w:rPr>
                  </w:pPr>
                  <w:r w:rsidRPr="000228A0">
                    <w:rPr>
                      <w:rFonts w:ascii="Garamond" w:hAnsi="Garamond"/>
                    </w:rPr>
                    <w:t>Do not take any notice of lists of names that have no significance. They must not be used as evidence in a court of law. That sort of thing is a very poor example to others. It is not the sort of thing I want to be remembered for as Emperor.”</w:t>
                  </w:r>
                </w:p>
              </w:txbxContent>
            </v:textbox>
            <w10:wrap type="square"/>
          </v:shape>
        </w:pict>
      </w:r>
      <w:r w:rsidR="007D7021" w:rsidRPr="000228A0">
        <w:rPr>
          <w:rFonts w:ascii="Garamond" w:hAnsi="Garamond"/>
          <w:b/>
        </w:rPr>
        <w:t xml:space="preserve">Document </w:t>
      </w:r>
      <w:r w:rsidR="00D85F83" w:rsidRPr="000228A0">
        <w:rPr>
          <w:rFonts w:ascii="Garamond" w:hAnsi="Garamond"/>
          <w:b/>
        </w:rPr>
        <w:t>4</w:t>
      </w:r>
    </w:p>
    <w:p w:rsidR="00CD1EF1" w:rsidRPr="000228A0" w:rsidRDefault="00CD1EF1" w:rsidP="007D7021">
      <w:pPr>
        <w:jc w:val="center"/>
        <w:rPr>
          <w:rFonts w:ascii="Garamond" w:hAnsi="Garamond"/>
          <w:b/>
        </w:rPr>
      </w:pPr>
    </w:p>
    <w:p w:rsidR="00C500F9" w:rsidRPr="000228A0" w:rsidRDefault="00C500F9" w:rsidP="002826D5">
      <w:pPr>
        <w:jc w:val="center"/>
        <w:rPr>
          <w:rFonts w:ascii="Garamond" w:hAnsi="Garamond"/>
          <w:b/>
        </w:rPr>
      </w:pPr>
    </w:p>
    <w:p w:rsidR="007D7021" w:rsidRPr="000228A0" w:rsidRDefault="007D7021" w:rsidP="002826D5">
      <w:pPr>
        <w:jc w:val="center"/>
        <w:rPr>
          <w:rFonts w:ascii="Garamond" w:hAnsi="Garamond"/>
          <w:b/>
        </w:rPr>
      </w:pPr>
      <w:r w:rsidRPr="000228A0">
        <w:rPr>
          <w:rFonts w:ascii="Garamond" w:hAnsi="Garamond"/>
          <w:b/>
        </w:rPr>
        <w:t xml:space="preserve">Document </w:t>
      </w:r>
      <w:r w:rsidR="00D85F83" w:rsidRPr="000228A0">
        <w:rPr>
          <w:rFonts w:ascii="Garamond" w:hAnsi="Garamond"/>
          <w:b/>
        </w:rPr>
        <w:t>5</w:t>
      </w:r>
    </w:p>
    <w:p w:rsidR="002826D5" w:rsidRPr="000228A0" w:rsidRDefault="00AE4C7D" w:rsidP="002826D5">
      <w:pPr>
        <w:jc w:val="center"/>
        <w:rPr>
          <w:rFonts w:ascii="Garamond" w:hAnsi="Garamond"/>
          <w:b/>
        </w:rPr>
      </w:pPr>
      <w:r w:rsidRPr="000228A0">
        <w:rPr>
          <w:rFonts w:ascii="Garamond" w:hAnsi="Garamond"/>
          <w:b/>
          <w:noProof/>
        </w:rPr>
        <w:pict>
          <v:shape id="_x0000_s1042" type="#_x0000_t202" style="position:absolute;left:0;text-align:left;margin-left:63pt;margin-top:2.85pt;width:297pt;height:202.8pt;z-index:251659264">
            <v:textbox style="mso-next-textbox:#_x0000_s1042">
              <w:txbxContent>
                <w:p w:rsidR="003A5504" w:rsidRPr="000228A0" w:rsidRDefault="003A5504" w:rsidP="00361766">
                  <w:pPr>
                    <w:rPr>
                      <w:rFonts w:ascii="Garamond" w:hAnsi="Garamond"/>
                      <w:bCs/>
                    </w:rPr>
                  </w:pPr>
                  <w:r w:rsidRPr="000228A0">
                    <w:rPr>
                      <w:rFonts w:ascii="Garamond" w:hAnsi="Garamond"/>
                      <w:b/>
                    </w:rPr>
                    <w:t xml:space="preserve">Source:  </w:t>
                  </w:r>
                  <w:r w:rsidR="008646DE" w:rsidRPr="000228A0">
                    <w:rPr>
                      <w:rFonts w:ascii="Garamond" w:hAnsi="Garamond"/>
                      <w:b/>
                    </w:rPr>
                    <w:t>Roman Aque</w:t>
                  </w:r>
                  <w:r w:rsidR="00361766" w:rsidRPr="000228A0">
                    <w:rPr>
                      <w:rFonts w:ascii="Garamond" w:hAnsi="Garamond"/>
                      <w:b/>
                    </w:rPr>
                    <w:t>duct (date unknown)</w:t>
                  </w:r>
                </w:p>
                <w:p w:rsidR="00CF21DE" w:rsidRPr="00361766" w:rsidRDefault="003B6F8B" w:rsidP="00361766">
                  <w:r>
                    <w:rPr>
                      <w:noProof/>
                    </w:rPr>
                    <w:drawing>
                      <wp:inline distT="0" distB="0" distL="0" distR="0">
                        <wp:extent cx="3629025" cy="24765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629025" cy="2476500"/>
                                </a:xfrm>
                                <a:prstGeom prst="rect">
                                  <a:avLst/>
                                </a:prstGeom>
                                <a:noFill/>
                                <a:ln w="9525">
                                  <a:noFill/>
                                  <a:miter lim="800000"/>
                                  <a:headEnd/>
                                  <a:tailEnd/>
                                </a:ln>
                              </pic:spPr>
                            </pic:pic>
                          </a:graphicData>
                        </a:graphic>
                      </wp:inline>
                    </w:drawing>
                  </w:r>
                </w:p>
              </w:txbxContent>
            </v:textbox>
          </v:shape>
        </w:pict>
      </w:r>
    </w:p>
    <w:p w:rsidR="00CF21DE" w:rsidRPr="000228A0" w:rsidRDefault="00CF21DE" w:rsidP="009345AC">
      <w:pPr>
        <w:jc w:val="center"/>
        <w:rPr>
          <w:rFonts w:ascii="Garamond" w:hAnsi="Garamond"/>
          <w:b/>
        </w:rPr>
      </w:pPr>
    </w:p>
    <w:p w:rsidR="009345AC" w:rsidRPr="000228A0" w:rsidRDefault="009345AC" w:rsidP="009345AC">
      <w:pPr>
        <w:jc w:val="center"/>
        <w:rPr>
          <w:rFonts w:ascii="Garamond" w:hAnsi="Garamond"/>
          <w:b/>
        </w:rPr>
      </w:pPr>
    </w:p>
    <w:p w:rsidR="00CD1EF1" w:rsidRPr="000228A0" w:rsidRDefault="00CD1EF1" w:rsidP="007D7021">
      <w:pPr>
        <w:jc w:val="center"/>
        <w:rPr>
          <w:rFonts w:ascii="Garamond" w:hAnsi="Garamond"/>
          <w:b/>
        </w:rPr>
      </w:pPr>
    </w:p>
    <w:p w:rsidR="00650A52" w:rsidRPr="000228A0" w:rsidRDefault="00650A52" w:rsidP="003D595B">
      <w:pPr>
        <w:rPr>
          <w:rFonts w:ascii="Garamond" w:hAnsi="Garamond"/>
          <w:b/>
        </w:rPr>
      </w:pPr>
    </w:p>
    <w:p w:rsidR="00650A52" w:rsidRPr="000228A0" w:rsidRDefault="00650A52" w:rsidP="003D595B">
      <w:pPr>
        <w:rPr>
          <w:rFonts w:ascii="Garamond" w:hAnsi="Garamond"/>
          <w:b/>
        </w:rPr>
      </w:pPr>
    </w:p>
    <w:p w:rsidR="00650A52" w:rsidRPr="000228A0" w:rsidRDefault="00650A52" w:rsidP="003D595B">
      <w:pPr>
        <w:rPr>
          <w:rFonts w:ascii="Garamond" w:hAnsi="Garamond"/>
          <w:b/>
        </w:rPr>
      </w:pPr>
    </w:p>
    <w:p w:rsidR="00650A52" w:rsidRPr="000228A0" w:rsidRDefault="00650A52" w:rsidP="007D7021">
      <w:pPr>
        <w:jc w:val="center"/>
        <w:rPr>
          <w:rFonts w:ascii="Garamond" w:hAnsi="Garamond"/>
          <w:b/>
        </w:rPr>
      </w:pPr>
    </w:p>
    <w:p w:rsidR="009345AC" w:rsidRPr="000228A0" w:rsidRDefault="009345AC" w:rsidP="00E62222">
      <w:pPr>
        <w:rPr>
          <w:rFonts w:ascii="Garamond" w:hAnsi="Garamond"/>
          <w:b/>
        </w:rPr>
      </w:pPr>
    </w:p>
    <w:p w:rsidR="00CF21DE" w:rsidRPr="000228A0" w:rsidRDefault="00CF21DE" w:rsidP="008D1E9A">
      <w:pPr>
        <w:jc w:val="center"/>
        <w:rPr>
          <w:rFonts w:ascii="Garamond" w:hAnsi="Garamond"/>
          <w:b/>
        </w:rPr>
      </w:pPr>
    </w:p>
    <w:p w:rsidR="00650A52" w:rsidRPr="000228A0" w:rsidRDefault="00C31CCE" w:rsidP="008D1E9A">
      <w:pPr>
        <w:jc w:val="center"/>
        <w:rPr>
          <w:rFonts w:ascii="Garamond" w:hAnsi="Garamond"/>
          <w:b/>
        </w:rPr>
      </w:pPr>
      <w:r w:rsidRPr="000228A0">
        <w:rPr>
          <w:rFonts w:ascii="Garamond" w:hAnsi="Garamond"/>
          <w:b/>
        </w:rPr>
        <w:br w:type="page"/>
      </w:r>
      <w:r w:rsidR="00AE4C7D" w:rsidRPr="000228A0">
        <w:rPr>
          <w:rFonts w:ascii="Garamond" w:hAnsi="Garamond"/>
          <w:noProof/>
        </w:rPr>
        <w:lastRenderedPageBreak/>
        <w:pict>
          <v:shape id="_x0000_s1030" type="#_x0000_t202" style="position:absolute;left:0;text-align:left;margin-left:-27pt;margin-top:22.2pt;width:495pt;height:189.4pt;z-index:251658240">
            <v:textbox style="mso-next-textbox:#_x0000_s1030">
              <w:txbxContent>
                <w:p w:rsidR="00E62222" w:rsidRPr="000228A0" w:rsidRDefault="003E0A61" w:rsidP="00C31CCE">
                  <w:pPr>
                    <w:spacing w:before="100" w:beforeAutospacing="1" w:after="100" w:afterAutospacing="1"/>
                    <w:rPr>
                      <w:rFonts w:ascii="Garamond" w:hAnsi="Garamond"/>
                      <w:b/>
                      <w:bCs/>
                      <w:sz w:val="26"/>
                      <w:szCs w:val="26"/>
                    </w:rPr>
                  </w:pPr>
                  <w:r w:rsidRPr="000228A0">
                    <w:rPr>
                      <w:rFonts w:ascii="Garamond" w:hAnsi="Garamond"/>
                      <w:b/>
                      <w:bCs/>
                      <w:sz w:val="26"/>
                      <w:szCs w:val="26"/>
                    </w:rPr>
                    <w:t xml:space="preserve">Source: </w:t>
                  </w:r>
                  <w:r w:rsidR="006A3FFD" w:rsidRPr="000228A0">
                    <w:rPr>
                      <w:rFonts w:ascii="Garamond" w:hAnsi="Garamond"/>
                      <w:b/>
                      <w:bCs/>
                      <w:sz w:val="26"/>
                      <w:szCs w:val="26"/>
                    </w:rPr>
                    <w:t>City of God by Saint Augustine (c. 430 CE)</w:t>
                  </w:r>
                </w:p>
                <w:p w:rsidR="00EE020C" w:rsidRPr="000228A0" w:rsidRDefault="00C31CCE" w:rsidP="00D178A5">
                  <w:pPr>
                    <w:rPr>
                      <w:rFonts w:ascii="Garamond" w:hAnsi="Garamond"/>
                      <w:bCs/>
                      <w:sz w:val="26"/>
                      <w:szCs w:val="26"/>
                    </w:rPr>
                  </w:pPr>
                  <w:r w:rsidRPr="000228A0">
                    <w:rPr>
                      <w:rFonts w:ascii="Garamond" w:hAnsi="Garamond"/>
                      <w:bCs/>
                      <w:sz w:val="26"/>
                      <w:szCs w:val="26"/>
                    </w:rPr>
                    <w:t>“…. it has come to pass that the two cities [earthly and heavenly] could not have common laws of religion, and that the heavenly city has been compelled in this matter to dissent, and to become obnoxious to those who think differently, and to stand the brunt of their anger and hatred and persecutions, except in so far as the minds of their enemies have been alarmed by the multitude of the Christians and quelled by the manifest protection of God accorded to them. This heavenly city, then, while it sojourns on earth, calls citizens out of all nations, and gathers together a society of pilgrims of all languages, not scrupling about diversities in the manners, laws, and institutions whereby earthly peace is secured and maintained, but recognizing that… they all tend to one an the same end of earthly peace.”</w:t>
                  </w:r>
                </w:p>
                <w:p w:rsidR="00CD1EF1" w:rsidRPr="00D178A5" w:rsidRDefault="00CD1EF1" w:rsidP="00D178A5"/>
              </w:txbxContent>
            </v:textbox>
            <w10:wrap type="square"/>
          </v:shape>
        </w:pict>
      </w:r>
      <w:r w:rsidR="00650A52" w:rsidRPr="000228A0">
        <w:rPr>
          <w:rFonts w:ascii="Garamond" w:hAnsi="Garamond"/>
          <w:b/>
        </w:rPr>
        <w:t xml:space="preserve">Document </w:t>
      </w:r>
      <w:r w:rsidR="00D85F83" w:rsidRPr="000228A0">
        <w:rPr>
          <w:rFonts w:ascii="Garamond" w:hAnsi="Garamond"/>
          <w:b/>
        </w:rPr>
        <w:t>6</w:t>
      </w:r>
    </w:p>
    <w:p w:rsidR="00650A52" w:rsidRPr="000228A0" w:rsidRDefault="00650A52" w:rsidP="00EE020C">
      <w:pPr>
        <w:rPr>
          <w:rFonts w:ascii="Garamond" w:hAnsi="Garamond"/>
          <w:b/>
        </w:rPr>
      </w:pPr>
    </w:p>
    <w:p w:rsidR="006D083F" w:rsidRPr="000228A0" w:rsidRDefault="002826D5" w:rsidP="00C35FBD">
      <w:pPr>
        <w:rPr>
          <w:rFonts w:ascii="Garamond" w:hAnsi="Garamond"/>
          <w:bCs/>
          <w:color w:val="FF0000"/>
        </w:rPr>
      </w:pPr>
      <w:r w:rsidRPr="000228A0">
        <w:rPr>
          <w:rFonts w:ascii="Garamond" w:hAnsi="Garamond"/>
          <w:bCs/>
          <w:color w:val="FF0000"/>
        </w:rPr>
        <w:t xml:space="preserve"> </w:t>
      </w:r>
    </w:p>
    <w:sectPr w:rsidR="006D083F" w:rsidRPr="000228A0" w:rsidSect="000228A0">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008" w:rsidRDefault="00F82008">
      <w:r>
        <w:separator/>
      </w:r>
    </w:p>
  </w:endnote>
  <w:endnote w:type="continuationSeparator" w:id="0">
    <w:p w:rsidR="00F82008" w:rsidRDefault="00F82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008" w:rsidRDefault="00F82008">
      <w:r>
        <w:separator/>
      </w:r>
    </w:p>
  </w:footnote>
  <w:footnote w:type="continuationSeparator" w:id="0">
    <w:p w:rsidR="00F82008" w:rsidRDefault="00F82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8A0" w:rsidRPr="000228A0" w:rsidRDefault="000228A0" w:rsidP="000228A0">
    <w:pPr>
      <w:pStyle w:val="Header"/>
      <w:shd w:val="clear" w:color="auto" w:fill="000000" w:themeFill="text1"/>
      <w:rPr>
        <w:rFonts w:ascii="Garamond" w:hAnsi="Garamond"/>
        <w:sz w:val="28"/>
        <w:szCs w:val="28"/>
      </w:rPr>
    </w:pPr>
    <w:r w:rsidRPr="000228A0">
      <w:rPr>
        <w:rFonts w:ascii="Garamond" w:hAnsi="Garamond"/>
        <w:sz w:val="28"/>
        <w:szCs w:val="28"/>
      </w:rPr>
      <w:t>Practice Rome DBQ</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06F54"/>
    <w:multiLevelType w:val="hybridMultilevel"/>
    <w:tmpl w:val="5D088D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E55BC5"/>
    <w:multiLevelType w:val="hybridMultilevel"/>
    <w:tmpl w:val="D3BC8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EC69D2"/>
    <w:multiLevelType w:val="hybridMultilevel"/>
    <w:tmpl w:val="AF0CE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1E1940"/>
    <w:multiLevelType w:val="hybridMultilevel"/>
    <w:tmpl w:val="D8665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4954D7"/>
    <w:multiLevelType w:val="hybridMultilevel"/>
    <w:tmpl w:val="2010802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654265A5"/>
    <w:multiLevelType w:val="hybridMultilevel"/>
    <w:tmpl w:val="4014993A"/>
    <w:lvl w:ilvl="0" w:tplc="FA18EE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8363164"/>
    <w:multiLevelType w:val="hybridMultilevel"/>
    <w:tmpl w:val="6A269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A7227"/>
    <w:rsid w:val="000228A0"/>
    <w:rsid w:val="000440D0"/>
    <w:rsid w:val="000922E6"/>
    <w:rsid w:val="00096331"/>
    <w:rsid w:val="000A088A"/>
    <w:rsid w:val="000A44DB"/>
    <w:rsid w:val="000A748B"/>
    <w:rsid w:val="000C64F6"/>
    <w:rsid w:val="00101BDC"/>
    <w:rsid w:val="00155AC9"/>
    <w:rsid w:val="0017435C"/>
    <w:rsid w:val="0018069E"/>
    <w:rsid w:val="001D4E33"/>
    <w:rsid w:val="001E167A"/>
    <w:rsid w:val="001E23C3"/>
    <w:rsid w:val="00235E6B"/>
    <w:rsid w:val="002663CC"/>
    <w:rsid w:val="002665C8"/>
    <w:rsid w:val="00267FD0"/>
    <w:rsid w:val="00280935"/>
    <w:rsid w:val="002826D5"/>
    <w:rsid w:val="002B20CB"/>
    <w:rsid w:val="002F31A8"/>
    <w:rsid w:val="00315FCC"/>
    <w:rsid w:val="0035287A"/>
    <w:rsid w:val="00360B7F"/>
    <w:rsid w:val="00361766"/>
    <w:rsid w:val="003668B8"/>
    <w:rsid w:val="00392EBC"/>
    <w:rsid w:val="003A5504"/>
    <w:rsid w:val="003A5E42"/>
    <w:rsid w:val="003B6F8B"/>
    <w:rsid w:val="003D595B"/>
    <w:rsid w:val="003E0A61"/>
    <w:rsid w:val="003F2B15"/>
    <w:rsid w:val="0040109E"/>
    <w:rsid w:val="00404D11"/>
    <w:rsid w:val="00430228"/>
    <w:rsid w:val="004643F1"/>
    <w:rsid w:val="004B20E2"/>
    <w:rsid w:val="004D42CC"/>
    <w:rsid w:val="00514C9D"/>
    <w:rsid w:val="00530AFD"/>
    <w:rsid w:val="00550B22"/>
    <w:rsid w:val="00554302"/>
    <w:rsid w:val="00561597"/>
    <w:rsid w:val="00573D34"/>
    <w:rsid w:val="00596522"/>
    <w:rsid w:val="00597F77"/>
    <w:rsid w:val="005A1B2B"/>
    <w:rsid w:val="005A5F5C"/>
    <w:rsid w:val="005B7F6A"/>
    <w:rsid w:val="005C6523"/>
    <w:rsid w:val="005C6E25"/>
    <w:rsid w:val="005D480D"/>
    <w:rsid w:val="005D6173"/>
    <w:rsid w:val="00621BBA"/>
    <w:rsid w:val="006277FA"/>
    <w:rsid w:val="00647DB6"/>
    <w:rsid w:val="00650A52"/>
    <w:rsid w:val="006A3FFD"/>
    <w:rsid w:val="006A6D23"/>
    <w:rsid w:val="006A7227"/>
    <w:rsid w:val="006D083F"/>
    <w:rsid w:val="00720397"/>
    <w:rsid w:val="007450E7"/>
    <w:rsid w:val="00771556"/>
    <w:rsid w:val="00782B44"/>
    <w:rsid w:val="007D5D43"/>
    <w:rsid w:val="007D7021"/>
    <w:rsid w:val="007F6C77"/>
    <w:rsid w:val="0082313B"/>
    <w:rsid w:val="00845D6A"/>
    <w:rsid w:val="008646DE"/>
    <w:rsid w:val="00894B58"/>
    <w:rsid w:val="008D1E9A"/>
    <w:rsid w:val="00924E49"/>
    <w:rsid w:val="00927C11"/>
    <w:rsid w:val="00932C51"/>
    <w:rsid w:val="009345AC"/>
    <w:rsid w:val="00965D37"/>
    <w:rsid w:val="00976C46"/>
    <w:rsid w:val="00994943"/>
    <w:rsid w:val="009B2E98"/>
    <w:rsid w:val="009C6D17"/>
    <w:rsid w:val="009D09D6"/>
    <w:rsid w:val="00A33EA1"/>
    <w:rsid w:val="00A72FF3"/>
    <w:rsid w:val="00AC65DE"/>
    <w:rsid w:val="00AE4C7D"/>
    <w:rsid w:val="00AF1C71"/>
    <w:rsid w:val="00AF33CC"/>
    <w:rsid w:val="00B04535"/>
    <w:rsid w:val="00B213D0"/>
    <w:rsid w:val="00B7782F"/>
    <w:rsid w:val="00B90216"/>
    <w:rsid w:val="00B92C7D"/>
    <w:rsid w:val="00BB3843"/>
    <w:rsid w:val="00C177BA"/>
    <w:rsid w:val="00C27BB1"/>
    <w:rsid w:val="00C31CCE"/>
    <w:rsid w:val="00C35E95"/>
    <w:rsid w:val="00C35FBD"/>
    <w:rsid w:val="00C500F9"/>
    <w:rsid w:val="00C50194"/>
    <w:rsid w:val="00C512F6"/>
    <w:rsid w:val="00C70ADB"/>
    <w:rsid w:val="00C71863"/>
    <w:rsid w:val="00C93215"/>
    <w:rsid w:val="00CA73C3"/>
    <w:rsid w:val="00CC1912"/>
    <w:rsid w:val="00CD1EF1"/>
    <w:rsid w:val="00CD71A0"/>
    <w:rsid w:val="00CE3F34"/>
    <w:rsid w:val="00CF21DE"/>
    <w:rsid w:val="00D178A5"/>
    <w:rsid w:val="00D74639"/>
    <w:rsid w:val="00D84C7A"/>
    <w:rsid w:val="00D85F83"/>
    <w:rsid w:val="00E47F75"/>
    <w:rsid w:val="00E62222"/>
    <w:rsid w:val="00EA6AE0"/>
    <w:rsid w:val="00EE020C"/>
    <w:rsid w:val="00EE6BD6"/>
    <w:rsid w:val="00F53F3C"/>
    <w:rsid w:val="00F82008"/>
    <w:rsid w:val="00FB1F6C"/>
    <w:rsid w:val="00FE64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4C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7C11"/>
    <w:pPr>
      <w:tabs>
        <w:tab w:val="center" w:pos="4320"/>
        <w:tab w:val="right" w:pos="8640"/>
      </w:tabs>
    </w:pPr>
  </w:style>
  <w:style w:type="paragraph" w:styleId="Footer">
    <w:name w:val="footer"/>
    <w:basedOn w:val="Normal"/>
    <w:rsid w:val="00927C11"/>
    <w:pPr>
      <w:tabs>
        <w:tab w:val="center" w:pos="4320"/>
        <w:tab w:val="right" w:pos="8640"/>
      </w:tabs>
    </w:pPr>
  </w:style>
  <w:style w:type="paragraph" w:styleId="NormalWeb">
    <w:name w:val="Normal (Web)"/>
    <w:basedOn w:val="Normal"/>
    <w:rsid w:val="00155AC9"/>
    <w:pPr>
      <w:spacing w:before="100" w:beforeAutospacing="1" w:after="100" w:afterAutospacing="1"/>
    </w:pPr>
    <w:rPr>
      <w:color w:val="00000F"/>
    </w:rPr>
  </w:style>
  <w:style w:type="character" w:styleId="Strong">
    <w:name w:val="Strong"/>
    <w:basedOn w:val="DefaultParagraphFont"/>
    <w:qFormat/>
    <w:rsid w:val="00155AC9"/>
    <w:rPr>
      <w:b/>
      <w:bCs/>
    </w:rPr>
  </w:style>
  <w:style w:type="paragraph" w:styleId="BodyTextIndent">
    <w:name w:val="Body Text Indent"/>
    <w:basedOn w:val="Normal"/>
    <w:rsid w:val="000440D0"/>
    <w:pPr>
      <w:ind w:left="720"/>
    </w:pPr>
  </w:style>
  <w:style w:type="character" w:styleId="Hyperlink">
    <w:name w:val="Hyperlink"/>
    <w:basedOn w:val="DefaultParagraphFont"/>
    <w:rsid w:val="00392EBC"/>
    <w:rPr>
      <w:color w:val="0000FF"/>
      <w:u w:val="single"/>
    </w:rPr>
  </w:style>
  <w:style w:type="paragraph" w:styleId="BalloonText">
    <w:name w:val="Balloon Text"/>
    <w:basedOn w:val="Normal"/>
    <w:link w:val="BalloonTextChar"/>
    <w:rsid w:val="000228A0"/>
    <w:rPr>
      <w:rFonts w:ascii="Tahoma" w:hAnsi="Tahoma" w:cs="Tahoma"/>
      <w:sz w:val="16"/>
      <w:szCs w:val="16"/>
    </w:rPr>
  </w:style>
  <w:style w:type="character" w:customStyle="1" w:styleId="BalloonTextChar">
    <w:name w:val="Balloon Text Char"/>
    <w:basedOn w:val="DefaultParagraphFont"/>
    <w:link w:val="BalloonText"/>
    <w:rsid w:val="000228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8557221">
      <w:bodyDiv w:val="1"/>
      <w:marLeft w:val="0"/>
      <w:marRight w:val="0"/>
      <w:marTop w:val="0"/>
      <w:marBottom w:val="0"/>
      <w:divBdr>
        <w:top w:val="none" w:sz="0" w:space="0" w:color="auto"/>
        <w:left w:val="none" w:sz="0" w:space="0" w:color="auto"/>
        <w:bottom w:val="none" w:sz="0" w:space="0" w:color="auto"/>
        <w:right w:val="none" w:sz="0" w:space="0" w:color="auto"/>
      </w:divBdr>
      <w:divsChild>
        <w:div w:id="205954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Construct Your Own DBQ Exercise</vt:lpstr>
    </vt:vector>
  </TitlesOfParts>
  <Company>Episcopal Academy</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 Your Own DBQ Exercise</dc:title>
  <dc:creator>BEVAN Dean</dc:creator>
  <cp:lastModifiedBy>dbevan</cp:lastModifiedBy>
  <cp:revision>4</cp:revision>
  <dcterms:created xsi:type="dcterms:W3CDTF">2012-12-20T05:42:00Z</dcterms:created>
  <dcterms:modified xsi:type="dcterms:W3CDTF">2013-01-08T01:19:00Z</dcterms:modified>
</cp:coreProperties>
</file>